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1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7"/>
        <w:gridCol w:w="7287"/>
      </w:tblGrid>
      <w:tr w:rsidR="00503855" w:rsidRPr="00503855" w14:paraId="06AC9BAD" w14:textId="77777777" w:rsidTr="00503855">
        <w:trPr>
          <w:trHeight w:val="344"/>
        </w:trPr>
        <w:tc>
          <w:tcPr>
            <w:tcW w:w="1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5A247" w14:textId="417F48E1" w:rsidR="00503855" w:rsidRPr="00503855" w:rsidRDefault="00503855" w:rsidP="0050385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03855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7287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F52EA" w14:textId="027476DA" w:rsidR="00503855" w:rsidRPr="00503855" w:rsidRDefault="00503855" w:rsidP="0050385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03855">
              <w:rPr>
                <w:b/>
                <w:bCs/>
                <w:sz w:val="20"/>
                <w:szCs w:val="20"/>
              </w:rPr>
              <w:t>Gestión</w:t>
            </w:r>
            <w:r w:rsidRPr="0050385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03855">
              <w:rPr>
                <w:b/>
                <w:bCs/>
                <w:sz w:val="20"/>
                <w:szCs w:val="20"/>
              </w:rPr>
              <w:t>del</w:t>
            </w:r>
            <w:r w:rsidRPr="0050385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03855">
              <w:rPr>
                <w:b/>
                <w:bCs/>
                <w:sz w:val="20"/>
                <w:szCs w:val="20"/>
              </w:rPr>
              <w:t>Riesgo</w:t>
            </w:r>
            <w:r w:rsidRPr="00503855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03855">
              <w:rPr>
                <w:b/>
                <w:bCs/>
                <w:sz w:val="20"/>
                <w:szCs w:val="20"/>
              </w:rPr>
              <w:t>en</w:t>
            </w:r>
            <w:r w:rsidRPr="0050385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03855">
              <w:rPr>
                <w:b/>
                <w:bCs/>
                <w:sz w:val="20"/>
                <w:szCs w:val="20"/>
              </w:rPr>
              <w:t>Salud</w:t>
            </w:r>
            <w:r w:rsidRPr="0050385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03855">
              <w:rPr>
                <w:b/>
                <w:bCs/>
                <w:spacing w:val="-2"/>
                <w:sz w:val="20"/>
                <w:szCs w:val="20"/>
              </w:rPr>
              <w:t>Familiar</w:t>
            </w:r>
          </w:p>
        </w:tc>
      </w:tr>
      <w:tr w:rsidR="00503855" w:rsidRPr="00503855" w14:paraId="0CA11070" w14:textId="77777777" w:rsidTr="00503855">
        <w:trPr>
          <w:trHeight w:val="707"/>
        </w:trPr>
        <w:tc>
          <w:tcPr>
            <w:tcW w:w="91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3AF49" w14:textId="77777777" w:rsidR="00503855" w:rsidRPr="00503855" w:rsidRDefault="00503855" w:rsidP="0050385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09E86AA" w14:textId="3853DF20" w:rsidR="00503855" w:rsidRPr="00503855" w:rsidRDefault="00503855" w:rsidP="00503855">
            <w:pPr>
              <w:widowControl w:val="0"/>
              <w:jc w:val="center"/>
              <w:rPr>
                <w:sz w:val="20"/>
                <w:szCs w:val="20"/>
              </w:rPr>
            </w:pPr>
            <w:r w:rsidRPr="00503855">
              <w:rPr>
                <w:sz w:val="20"/>
                <w:szCs w:val="20"/>
              </w:rPr>
              <w:t>Escoge los escenarios de la acción para la gestión del riesgo en salud familiar y comunitaria</w:t>
            </w:r>
          </w:p>
        </w:tc>
      </w:tr>
    </w:tbl>
    <w:tbl>
      <w:tblPr>
        <w:tblW w:w="920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499"/>
        <w:gridCol w:w="2334"/>
        <w:gridCol w:w="2349"/>
      </w:tblGrid>
      <w:tr w:rsidR="00503855" w:rsidRPr="00503855" w14:paraId="07824806" w14:textId="77777777" w:rsidTr="00503855">
        <w:trPr>
          <w:trHeight w:val="215"/>
          <w:tblHeader/>
          <w:tblCellSpacing w:w="15" w:type="dxa"/>
        </w:trPr>
        <w:tc>
          <w:tcPr>
            <w:tcW w:w="9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CE82F2" w14:textId="4B674FA0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rStyle w:val="Textoennegrita"/>
                <w:color w:val="1F1F1F"/>
                <w:sz w:val="20"/>
                <w:szCs w:val="20"/>
                <w:bdr w:val="none" w:sz="0" w:space="0" w:color="auto" w:frame="1"/>
              </w:rPr>
              <w:t>Criterio de Evaluación</w:t>
            </w:r>
          </w:p>
        </w:tc>
      </w:tr>
      <w:tr w:rsidR="00503855" w:rsidRPr="00503855" w14:paraId="4BC40C67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11B3F2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Fundamentación Teórica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31135F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Subttulo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Domina y articula con claridad los conceptos de Riesgo como Proceso Social, Enfoque de Capacidades y Complejidad en su discurso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BC0EFC9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a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Explica los conceptos teóricos, pero le cuesta integrarlos con la realidad de la familia o comunidad abordada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BBEEC7" w14:textId="1B1B9E13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Encabezado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 xml:space="preserve">No menciona o confunde los conceptos </w:t>
            </w:r>
          </w:p>
        </w:tc>
      </w:tr>
      <w:tr w:rsidR="00503855" w:rsidRPr="00503855" w14:paraId="5C44BB9D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1CA987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Aplicación de Instrumentos Técnicos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A07F47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EncabezadoCar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 xml:space="preserve">Sustenta con rigor el uso del </w:t>
            </w:r>
            <w:proofErr w:type="spellStart"/>
            <w:r w:rsidRPr="00503855">
              <w:rPr>
                <w:rStyle w:val="EncabezadoCar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Familiograma</w:t>
            </w:r>
            <w:proofErr w:type="spellEnd"/>
            <w:r w:rsidRPr="00503855">
              <w:rPr>
                <w:rStyle w:val="EncabezadoCar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, Ecomapa, APGAR y escalas (Zarit, FINDRISK, etc.), demostrando una lectura sistémica profunda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3F9B77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Piedepgina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Presenta los instrumentos, pero el análisis es superficial o faltan escalas clave de medición de riesgo en salud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83BE172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PiedepginaCar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Los instrumentos están incompletos, mal aplicados o no guardan relación con el caso presentado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503855" w:rsidRPr="00503855" w14:paraId="4680BD00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DE50C6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Metodología y Territorio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CD947F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Style w:val="NormalWeb"/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Describe vívidamente el "Encuentro de Saberes" y la validación de campo, contrastando la percepción de la familia con la realidad física</w:t>
            </w: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C69A6F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Menciona el trabajo de campo y la cartografía, pero no profundiza en el diálogo de saberes ni en la "deriva sensorial".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51F8D69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No se evidencia contacto real con la comunidad o el proceso de construcción colectiva fue omitido.</w:t>
            </w:r>
          </w:p>
        </w:tc>
      </w:tr>
      <w:tr w:rsidR="00503855" w:rsidRPr="00503855" w14:paraId="0605EAC2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3DF8A42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Análisis y Priorización (Matriz)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1C7D6F9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Presenta una Matriz de Riesgo coherente con zonificación (Rojo, Naranja, Verde) y rutas de atención basadas en hallazgos reales.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8EF5DC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La matriz está organizada, pero la priorización no se deriva claramente de los resultados de los test aplicados.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97AC5DF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No presenta matriz de gestión o la zonificación del riesgo es arbitraria y sin sustento técnico.</w:t>
            </w:r>
          </w:p>
        </w:tc>
      </w:tr>
      <w:tr w:rsidR="00503855" w:rsidRPr="00503855" w14:paraId="556DF2B9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0BD9C9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Propuesta de Acción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AECE88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Propone acciones dignificantes que transforman historias, vinculando la capacidad instalada con los riesgos biológicos y sociales.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636216F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Plantea acciones generales, pero no aprovecha el liderazgo local ni las redes de apoyo identificadas en el Ecomapa.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5AD53A0" w14:textId="77777777" w:rsidR="00503855" w:rsidRPr="00503855" w:rsidRDefault="00503855" w:rsidP="00503855">
            <w:pPr>
              <w:pStyle w:val="NormalWeb"/>
              <w:spacing w:after="0"/>
              <w:ind w:left="0" w:hanging="2"/>
              <w:jc w:val="center"/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503855">
              <w:rPr>
                <w:rFonts w:ascii="Arial" w:hAnsi="Arial" w:cs="Arial"/>
                <w:color w:val="1F1F1F"/>
                <w:sz w:val="20"/>
                <w:szCs w:val="20"/>
                <w:bdr w:val="none" w:sz="0" w:space="0" w:color="auto" w:frame="1"/>
              </w:rPr>
              <w:t>Las propuestas son asistencialistas o no responden a los riesgos identificados en el diagnóstico.</w:t>
            </w:r>
          </w:p>
        </w:tc>
      </w:tr>
      <w:tr w:rsidR="00503855" w:rsidRPr="00503855" w14:paraId="55B25A01" w14:textId="77777777" w:rsidTr="0050385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0575A0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Habilidades Comunicativas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7E73D6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color w:val="1F1F1F"/>
                <w:sz w:val="20"/>
                <w:szCs w:val="20"/>
                <w:bdr w:val="none" w:sz="0" w:space="0" w:color="auto" w:frame="1"/>
              </w:rPr>
              <w:t>Comunicación asertiva, manejo del tiempo impecable y capacidad de respuesta crítica ante preguntas del jurado.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2EA431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color w:val="1F1F1F"/>
                <w:sz w:val="20"/>
                <w:szCs w:val="20"/>
                <w:bdr w:val="none" w:sz="0" w:space="0" w:color="auto" w:frame="1"/>
              </w:rPr>
              <w:t>Comunicación clara, aunque depende en exceso de las ayudas audiovisuales o flaquea en la defensa de sus argumentos.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85DE8A2" w14:textId="77777777" w:rsidR="00503855" w:rsidRPr="00503855" w:rsidRDefault="00503855" w:rsidP="00503855">
            <w:pPr>
              <w:jc w:val="center"/>
              <w:rPr>
                <w:color w:val="1F1F1F"/>
                <w:sz w:val="20"/>
                <w:szCs w:val="20"/>
              </w:rPr>
            </w:pPr>
            <w:r w:rsidRPr="00503855">
              <w:rPr>
                <w:color w:val="1F1F1F"/>
                <w:sz w:val="20"/>
                <w:szCs w:val="20"/>
                <w:bdr w:val="none" w:sz="0" w:space="0" w:color="auto" w:frame="1"/>
              </w:rPr>
              <w:t>Presentación desorganizada, lectura textual de diapositivas y falta de dominio del tema.</w:t>
            </w:r>
          </w:p>
        </w:tc>
      </w:tr>
    </w:tbl>
    <w:p w14:paraId="072C65E5" w14:textId="77777777" w:rsidR="00180219" w:rsidRPr="00503855" w:rsidRDefault="00180219" w:rsidP="004524E0">
      <w:pPr>
        <w:spacing w:line="600" w:lineRule="auto"/>
        <w:jc w:val="both"/>
        <w:rPr>
          <w:sz w:val="20"/>
          <w:szCs w:val="20"/>
        </w:rPr>
      </w:pPr>
    </w:p>
    <w:p w14:paraId="1A086BBC" w14:textId="7D302F19" w:rsidR="004524E0" w:rsidRPr="00503855" w:rsidRDefault="004524E0" w:rsidP="004524E0">
      <w:pPr>
        <w:spacing w:line="600" w:lineRule="auto"/>
        <w:jc w:val="both"/>
        <w:rPr>
          <w:sz w:val="20"/>
          <w:szCs w:val="20"/>
        </w:rPr>
      </w:pPr>
      <w:r w:rsidRPr="00503855">
        <w:rPr>
          <w:sz w:val="20"/>
          <w:szCs w:val="20"/>
        </w:rPr>
        <w:t>Nombre del estudiante ___________________________________________</w:t>
      </w:r>
    </w:p>
    <w:p w14:paraId="40098E7F" w14:textId="3C8BD522" w:rsidR="00216C89" w:rsidRPr="00503855" w:rsidRDefault="004524E0" w:rsidP="004524E0">
      <w:pPr>
        <w:spacing w:line="600" w:lineRule="auto"/>
        <w:jc w:val="both"/>
        <w:rPr>
          <w:sz w:val="20"/>
          <w:szCs w:val="20"/>
        </w:rPr>
      </w:pPr>
      <w:r w:rsidRPr="00503855">
        <w:rPr>
          <w:sz w:val="20"/>
          <w:szCs w:val="20"/>
        </w:rPr>
        <w:t>Nombre d</w:t>
      </w:r>
      <w:r w:rsidR="00216C89" w:rsidRPr="00503855">
        <w:rPr>
          <w:sz w:val="20"/>
          <w:szCs w:val="20"/>
        </w:rPr>
        <w:t>ocente</w:t>
      </w:r>
      <w:r w:rsidRPr="00503855">
        <w:rPr>
          <w:sz w:val="20"/>
          <w:szCs w:val="20"/>
        </w:rPr>
        <w:t>: ___________________________________________</w:t>
      </w:r>
    </w:p>
    <w:p w14:paraId="5DD91A23" w14:textId="49CA24E8" w:rsidR="00FF7BB6" w:rsidRPr="00503855" w:rsidRDefault="004524E0">
      <w:pPr>
        <w:jc w:val="both"/>
        <w:rPr>
          <w:sz w:val="20"/>
          <w:szCs w:val="20"/>
        </w:rPr>
      </w:pPr>
      <w:r w:rsidRPr="00503855">
        <w:rPr>
          <w:sz w:val="20"/>
          <w:szCs w:val="20"/>
        </w:rPr>
        <w:t xml:space="preserve">Fecha de evaluación: Día ___ Mes ___ Año </w:t>
      </w:r>
      <w:r w:rsidRPr="00503855">
        <w:rPr>
          <w:sz w:val="20"/>
          <w:szCs w:val="20"/>
          <w:u w:val="single"/>
        </w:rPr>
        <w:t>202</w:t>
      </w:r>
      <w:r w:rsidR="00503855" w:rsidRPr="00503855">
        <w:rPr>
          <w:sz w:val="20"/>
          <w:szCs w:val="20"/>
          <w:u w:val="single"/>
        </w:rPr>
        <w:t>6</w:t>
      </w:r>
    </w:p>
    <w:sectPr w:rsidR="00FF7BB6" w:rsidRPr="0050385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E6FFB" w14:textId="77777777" w:rsidR="009C221E" w:rsidRDefault="009C221E">
      <w:pPr>
        <w:spacing w:line="240" w:lineRule="auto"/>
      </w:pPr>
      <w:r>
        <w:separator/>
      </w:r>
    </w:p>
  </w:endnote>
  <w:endnote w:type="continuationSeparator" w:id="0">
    <w:p w14:paraId="63EE56F3" w14:textId="77777777" w:rsidR="009C221E" w:rsidRDefault="009C2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E471" w14:textId="77777777" w:rsidR="009C221E" w:rsidRDefault="009C221E">
      <w:pPr>
        <w:spacing w:line="240" w:lineRule="auto"/>
      </w:pPr>
      <w:r>
        <w:separator/>
      </w:r>
    </w:p>
  </w:footnote>
  <w:footnote w:type="continuationSeparator" w:id="0">
    <w:p w14:paraId="435E8D6E" w14:textId="77777777" w:rsidR="009C221E" w:rsidRDefault="009C2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FAAC2" w14:textId="77777777" w:rsidR="00503855" w:rsidRDefault="00503855" w:rsidP="00503855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color w:val="000000"/>
      </w:rPr>
    </w:pPr>
    <w:bookmarkStart w:id="0" w:name="_Hlk193555393"/>
    <w:bookmarkStart w:id="1" w:name="_Hlk228003533"/>
    <w:r>
      <w:rPr>
        <w:noProof/>
      </w:rPr>
      <w:drawing>
        <wp:anchor distT="0" distB="0" distL="114300" distR="114300" simplePos="0" relativeHeight="251659264" behindDoc="1" locked="0" layoutInCell="1" allowOverlap="1" wp14:anchorId="631E562F" wp14:editId="1DDD4276">
          <wp:simplePos x="0" y="0"/>
          <wp:positionH relativeFrom="margin">
            <wp:align>left</wp:align>
          </wp:positionH>
          <wp:positionV relativeFrom="paragraph">
            <wp:posOffset>-11456</wp:posOffset>
          </wp:positionV>
          <wp:extent cx="497433" cy="460858"/>
          <wp:effectExtent l="0" t="0" r="0" b="0"/>
          <wp:wrapNone/>
          <wp:docPr id="2" name="image5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74" cy="46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</w:rPr>
      <w:t>UNIVERSIDAD DE LOS LLANOS</w:t>
    </w:r>
  </w:p>
  <w:p w14:paraId="7C86A6E5" w14:textId="77777777" w:rsidR="00503855" w:rsidRDefault="00503855" w:rsidP="00503855">
    <w:pPr>
      <w:ind w:hanging="2"/>
      <w:jc w:val="center"/>
      <w:rPr>
        <w:b/>
      </w:rPr>
    </w:pPr>
    <w:r>
      <w:rPr>
        <w:b/>
      </w:rPr>
      <w:t>FACULTAD DE CIENCIAS DE LA SALUD</w:t>
    </w:r>
    <w:bookmarkEnd w:id="0"/>
  </w:p>
  <w:p w14:paraId="54BD97E6" w14:textId="77777777" w:rsidR="00503855" w:rsidRDefault="00503855" w:rsidP="00503855">
    <w:pPr>
      <w:ind w:hanging="2"/>
      <w:jc w:val="center"/>
      <w:rPr>
        <w:b/>
        <w:bCs/>
      </w:rPr>
    </w:pPr>
    <w:r w:rsidRPr="006B5E46">
      <w:rPr>
        <w:b/>
        <w:bCs/>
      </w:rPr>
      <w:t>Especialización</w:t>
    </w:r>
    <w:r w:rsidRPr="006B5E46">
      <w:rPr>
        <w:b/>
        <w:bCs/>
        <w:spacing w:val="-8"/>
      </w:rPr>
      <w:t xml:space="preserve"> </w:t>
    </w:r>
    <w:r w:rsidRPr="006B5E46">
      <w:rPr>
        <w:b/>
        <w:bCs/>
      </w:rPr>
      <w:t>en</w:t>
    </w:r>
    <w:r w:rsidRPr="006B5E46">
      <w:rPr>
        <w:b/>
        <w:bCs/>
        <w:spacing w:val="-10"/>
      </w:rPr>
      <w:t xml:space="preserve"> </w:t>
    </w:r>
    <w:r w:rsidRPr="006B5E46">
      <w:rPr>
        <w:b/>
        <w:bCs/>
      </w:rPr>
      <w:t>Salud</w:t>
    </w:r>
    <w:r w:rsidRPr="006B5E46">
      <w:rPr>
        <w:b/>
        <w:bCs/>
        <w:spacing w:val="-10"/>
      </w:rPr>
      <w:t xml:space="preserve"> </w:t>
    </w:r>
    <w:r w:rsidRPr="006B5E46">
      <w:rPr>
        <w:b/>
        <w:bCs/>
        <w:spacing w:val="-2"/>
      </w:rPr>
      <w:t>Familiar</w:t>
    </w:r>
  </w:p>
  <w:p w14:paraId="08794460" w14:textId="40E27B74" w:rsidR="00503855" w:rsidRPr="007A5E0B" w:rsidRDefault="00503855" w:rsidP="00503855">
    <w:pPr>
      <w:ind w:hanging="2"/>
      <w:jc w:val="center"/>
      <w:rPr>
        <w:b/>
        <w:bCs/>
        <w:sz w:val="20"/>
        <w:szCs w:val="20"/>
      </w:rPr>
    </w:pPr>
    <w:r w:rsidRPr="007A5E0B">
      <w:rPr>
        <w:b/>
        <w:bCs/>
        <w:kern w:val="36"/>
        <w:sz w:val="20"/>
        <w:szCs w:val="20"/>
      </w:rPr>
      <w:t xml:space="preserve">Guía de Actividad Evaluativa: </w:t>
    </w:r>
    <w:r w:rsidR="00B7033B" w:rsidRPr="00DE1892">
      <w:rPr>
        <w:sz w:val="20"/>
        <w:szCs w:val="20"/>
      </w:rPr>
      <w:t>Entrega</w:t>
    </w:r>
    <w:r w:rsidR="00B7033B" w:rsidRPr="00DE1892">
      <w:rPr>
        <w:spacing w:val="-5"/>
        <w:sz w:val="20"/>
        <w:szCs w:val="20"/>
      </w:rPr>
      <w:t xml:space="preserve"> </w:t>
    </w:r>
    <w:r w:rsidR="00B7033B" w:rsidRPr="00DE1892">
      <w:rPr>
        <w:sz w:val="20"/>
        <w:szCs w:val="20"/>
      </w:rPr>
      <w:t>de</w:t>
    </w:r>
    <w:r w:rsidR="00B7033B" w:rsidRPr="00DE1892">
      <w:rPr>
        <w:spacing w:val="-5"/>
        <w:sz w:val="20"/>
        <w:szCs w:val="20"/>
      </w:rPr>
      <w:t xml:space="preserve"> </w:t>
    </w:r>
    <w:r w:rsidR="00B7033B">
      <w:rPr>
        <w:spacing w:val="-5"/>
        <w:sz w:val="20"/>
        <w:szCs w:val="20"/>
      </w:rPr>
      <w:t>propuesta de diagnóstico de gestión del riesgo en salud</w:t>
    </w:r>
  </w:p>
  <w:bookmarkEnd w:id="1"/>
  <w:p w14:paraId="2F40C6FB" w14:textId="77777777" w:rsidR="00503855" w:rsidRPr="0032324B" w:rsidRDefault="00503855" w:rsidP="00503855">
    <w:pPr>
      <w:pBdr>
        <w:top w:val="nil"/>
        <w:left w:val="nil"/>
        <w:bottom w:val="nil"/>
        <w:right w:val="nil"/>
        <w:between w:val="nil"/>
      </w:pBdr>
      <w:tabs>
        <w:tab w:val="left" w:pos="7062"/>
      </w:tabs>
      <w:spacing w:line="240" w:lineRule="auto"/>
      <w:ind w:hanging="2"/>
      <w:jc w:val="center"/>
      <w:rPr>
        <w:b/>
        <w:bCs/>
        <w:color w:val="000000"/>
      </w:rPr>
    </w:pPr>
  </w:p>
  <w:p w14:paraId="2838F478" w14:textId="77777777" w:rsidR="00216C89" w:rsidRDefault="00216C89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0137F"/>
    <w:multiLevelType w:val="multilevel"/>
    <w:tmpl w:val="4468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B6"/>
    <w:rsid w:val="000067AA"/>
    <w:rsid w:val="000349D7"/>
    <w:rsid w:val="000C4231"/>
    <w:rsid w:val="00114CFE"/>
    <w:rsid w:val="0016097E"/>
    <w:rsid w:val="00163208"/>
    <w:rsid w:val="00180219"/>
    <w:rsid w:val="00197AE4"/>
    <w:rsid w:val="001E47E8"/>
    <w:rsid w:val="001F7018"/>
    <w:rsid w:val="00216C89"/>
    <w:rsid w:val="00287A31"/>
    <w:rsid w:val="002D4283"/>
    <w:rsid w:val="002E72AD"/>
    <w:rsid w:val="003D03BD"/>
    <w:rsid w:val="00427C6A"/>
    <w:rsid w:val="004524E0"/>
    <w:rsid w:val="00503855"/>
    <w:rsid w:val="00522A64"/>
    <w:rsid w:val="00572CDB"/>
    <w:rsid w:val="005D294E"/>
    <w:rsid w:val="0068485B"/>
    <w:rsid w:val="00796F80"/>
    <w:rsid w:val="008734B8"/>
    <w:rsid w:val="00877296"/>
    <w:rsid w:val="008D281E"/>
    <w:rsid w:val="0094733C"/>
    <w:rsid w:val="009C221E"/>
    <w:rsid w:val="009C5064"/>
    <w:rsid w:val="00A44ACB"/>
    <w:rsid w:val="00AF630D"/>
    <w:rsid w:val="00B35EB6"/>
    <w:rsid w:val="00B459ED"/>
    <w:rsid w:val="00B7033B"/>
    <w:rsid w:val="00BF0C07"/>
    <w:rsid w:val="00CE406A"/>
    <w:rsid w:val="00D27CB9"/>
    <w:rsid w:val="00D65E81"/>
    <w:rsid w:val="00E1268D"/>
    <w:rsid w:val="00F5623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CBDD"/>
  <w15:docId w15:val="{2981915C-4651-4515-9250-247E8D0A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7C6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C6A"/>
  </w:style>
  <w:style w:type="paragraph" w:styleId="Piedepgina">
    <w:name w:val="footer"/>
    <w:basedOn w:val="Normal"/>
    <w:link w:val="PiedepginaCar"/>
    <w:uiPriority w:val="99"/>
    <w:unhideWhenUsed/>
    <w:rsid w:val="00427C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C6A"/>
  </w:style>
  <w:style w:type="paragraph" w:styleId="NormalWeb">
    <w:name w:val="Normal (Web)"/>
    <w:basedOn w:val="Normal"/>
    <w:uiPriority w:val="99"/>
    <w:qFormat/>
    <w:rsid w:val="008D281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5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</dc:creator>
  <cp:lastModifiedBy>Sara Victoria Perdomo Molina</cp:lastModifiedBy>
  <cp:revision>3</cp:revision>
  <dcterms:created xsi:type="dcterms:W3CDTF">2026-04-24T16:00:00Z</dcterms:created>
  <dcterms:modified xsi:type="dcterms:W3CDTF">2026-04-25T15:21:00Z</dcterms:modified>
</cp:coreProperties>
</file>